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shd w:val="clear" w:color="auto" w:fill="FFFFFF"/>
        <w:kinsoku/>
        <w:wordWrap/>
        <w:overflowPunct/>
        <w:topLinePunct w:val="0"/>
        <w:autoSpaceDE/>
        <w:autoSpaceDN/>
        <w:bidi w:val="0"/>
        <w:adjustRightInd/>
        <w:snapToGrid/>
        <w:spacing w:beforeAutospacing="0" w:afterAutospacing="0" w:line="360" w:lineRule="auto"/>
        <w:ind w:left="0" w:firstLine="0" w:firstLineChars="0"/>
        <w:jc w:val="both"/>
        <w:textAlignment w:val="auto"/>
        <w:rPr>
          <w:rFonts w:hint="eastAsia" w:ascii="宋体" w:hAnsi="宋体" w:eastAsia="宋体" w:cs="宋体"/>
          <w:b/>
          <w:bCs/>
          <w:i w:val="0"/>
          <w:iCs w:val="0"/>
          <w:caps w:val="0"/>
          <w:color w:val="000000"/>
          <w:spacing w:val="0"/>
          <w:sz w:val="32"/>
          <w:szCs w:val="32"/>
          <w:highlight w:val="none"/>
          <w:shd w:val="clear" w:color="auto" w:fill="auto"/>
          <w:lang w:val="en-US" w:eastAsia="zh-CN"/>
        </w:rPr>
      </w:pPr>
      <w:r>
        <w:rPr>
          <w:rFonts w:hint="eastAsia" w:ascii="宋体" w:hAnsi="宋体" w:eastAsia="宋体" w:cs="宋体"/>
          <w:b/>
          <w:bCs/>
          <w:i w:val="0"/>
          <w:iCs w:val="0"/>
          <w:caps w:val="0"/>
          <w:color w:val="000000"/>
          <w:spacing w:val="0"/>
          <w:sz w:val="32"/>
          <w:szCs w:val="32"/>
          <w:highlight w:val="none"/>
          <w:shd w:val="clear" w:color="auto" w:fill="auto"/>
          <w:lang w:val="en-US" w:eastAsia="zh-CN"/>
        </w:rPr>
        <w:t>附件2：评审办法</w:t>
      </w:r>
    </w:p>
    <w:p>
      <w:pPr>
        <w:pStyle w:val="3"/>
        <w:keepNext w:val="0"/>
        <w:keepLines w:val="0"/>
        <w:pageBreakBefore w:val="0"/>
        <w:widowControl/>
        <w:suppressLineNumbers w:val="0"/>
        <w:shd w:val="clear" w:color="auto" w:fill="FFFFFF"/>
        <w:kinsoku/>
        <w:wordWrap/>
        <w:overflowPunct/>
        <w:topLinePunct w:val="0"/>
        <w:autoSpaceDE/>
        <w:autoSpaceDN/>
        <w:bidi w:val="0"/>
        <w:spacing w:beforeAutospacing="0" w:afterAutospacing="0" w:line="360" w:lineRule="auto"/>
        <w:jc w:val="both"/>
        <w:textAlignment w:val="auto"/>
        <w:rPr>
          <w:rFonts w:hint="eastAsia" w:ascii="宋体" w:hAnsi="宋体" w:eastAsia="宋体" w:cs="宋体"/>
          <w:i w:val="0"/>
          <w:iCs w:val="0"/>
          <w:caps w:val="0"/>
          <w:color w:val="000000"/>
          <w:spacing w:val="0"/>
          <w:sz w:val="24"/>
          <w:szCs w:val="24"/>
          <w:highlight w:val="none"/>
          <w:shd w:val="clear" w:color="auto" w:fill="auto"/>
          <w:lang w:val="en-US" w:eastAsia="zh-CN"/>
        </w:rPr>
      </w:pPr>
      <w:r>
        <w:rPr>
          <w:rFonts w:hint="eastAsia" w:ascii="宋体" w:hAnsi="宋体" w:eastAsia="宋体" w:cs="宋体"/>
          <w:i w:val="0"/>
          <w:iCs w:val="0"/>
          <w:caps w:val="0"/>
          <w:color w:val="000000"/>
          <w:spacing w:val="0"/>
          <w:sz w:val="24"/>
          <w:szCs w:val="24"/>
          <w:highlight w:val="none"/>
          <w:shd w:val="clear" w:color="auto" w:fill="auto"/>
          <w:lang w:val="en-US" w:eastAsia="zh-CN"/>
        </w:rPr>
        <w:t>评审办法前附表</w:t>
      </w:r>
    </w:p>
    <w:tbl>
      <w:tblPr>
        <w:tblStyle w:val="4"/>
        <w:tblW w:w="905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787"/>
        <w:gridCol w:w="1049"/>
        <w:gridCol w:w="1275"/>
        <w:gridCol w:w="8"/>
        <w:gridCol w:w="593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评审因素</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bCs/>
                <w:szCs w:val="21"/>
                <w:highlight w:val="none"/>
              </w:rPr>
            </w:pPr>
            <w:r>
              <w:rPr>
                <w:rFonts w:hint="eastAsia" w:ascii="宋体" w:hAnsi="宋体" w:cs="宋体"/>
                <w:b/>
                <w:bCs/>
                <w:szCs w:val="21"/>
                <w:highlight w:val="none"/>
              </w:rPr>
              <w:t>评审标准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469" w:hRule="atLeast"/>
          <w:jc w:val="center"/>
        </w:trPr>
        <w:tc>
          <w:tcPr>
            <w:tcW w:w="787" w:type="dxa"/>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1</w:t>
            </w:r>
          </w:p>
        </w:tc>
        <w:tc>
          <w:tcPr>
            <w:tcW w:w="1049" w:type="dxa"/>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评审方法</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中选候选人排序方法</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textAlignment w:val="baseline"/>
              <w:outlineLvl w:val="0"/>
              <w:rPr>
                <w:rFonts w:hint="eastAsia" w:ascii="宋体" w:hAnsi="宋体" w:cs="宋体"/>
                <w:b/>
                <w:szCs w:val="21"/>
                <w:highlight w:val="none"/>
              </w:rPr>
            </w:pPr>
            <w:r>
              <w:rPr>
                <w:rFonts w:hint="eastAsia" w:ascii="宋体" w:hAnsi="宋体" w:cs="宋体"/>
                <w:b w:val="0"/>
                <w:bCs/>
                <w:szCs w:val="21"/>
                <w:highlight w:val="none"/>
              </w:rPr>
              <w:t>按得分由高到低顺序推荐中选候选人，并标明排序；综合评分相等时，以</w:t>
            </w:r>
            <w:r>
              <w:rPr>
                <w:rFonts w:hint="eastAsia" w:ascii="宋体" w:hAnsi="宋体" w:cs="宋体"/>
                <w:b w:val="0"/>
                <w:bCs/>
                <w:szCs w:val="21"/>
                <w:highlight w:val="none"/>
                <w:lang w:eastAsia="zh-CN"/>
              </w:rPr>
              <w:t>询价</w:t>
            </w:r>
            <w:r>
              <w:rPr>
                <w:rFonts w:hint="eastAsia" w:ascii="宋体" w:hAnsi="宋体" w:cs="宋体"/>
                <w:b w:val="0"/>
                <w:bCs/>
                <w:szCs w:val="21"/>
                <w:highlight w:val="none"/>
              </w:rPr>
              <w:t>报价低的优先；如果</w:t>
            </w:r>
            <w:r>
              <w:rPr>
                <w:rFonts w:hint="eastAsia" w:ascii="宋体" w:hAnsi="宋体" w:cs="宋体"/>
                <w:b w:val="0"/>
                <w:bCs/>
                <w:szCs w:val="21"/>
                <w:highlight w:val="none"/>
                <w:lang w:eastAsia="zh-CN"/>
              </w:rPr>
              <w:t>询价</w:t>
            </w:r>
            <w:r>
              <w:rPr>
                <w:rFonts w:hint="eastAsia" w:ascii="宋体" w:hAnsi="宋体" w:cs="宋体"/>
                <w:b w:val="0"/>
                <w:bCs/>
                <w:szCs w:val="21"/>
                <w:highlight w:val="none"/>
              </w:rPr>
              <w:t>报价相同时，以技术服务方案评分标准得分高的优先；如果技术服务方案评分标准得分也相等，由评审委员会投票确定。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restart"/>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2.1.1</w:t>
            </w:r>
          </w:p>
        </w:tc>
        <w:tc>
          <w:tcPr>
            <w:tcW w:w="1049" w:type="dxa"/>
            <w:vMerge w:val="restart"/>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形式评审标准</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响应人</w:t>
            </w:r>
            <w:r>
              <w:rPr>
                <w:rFonts w:hint="eastAsia" w:ascii="宋体" w:hAnsi="宋体" w:cs="宋体"/>
                <w:szCs w:val="21"/>
                <w:highlight w:val="none"/>
              </w:rPr>
              <w:t>名称</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与营业执照一致。</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834"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w:t>
            </w:r>
            <w:r>
              <w:rPr>
                <w:rFonts w:hint="eastAsia" w:ascii="宋体" w:hAnsi="宋体" w:cs="宋体"/>
                <w:szCs w:val="21"/>
                <w:highlight w:val="none"/>
              </w:rPr>
              <w:t>函及</w:t>
            </w:r>
            <w:r>
              <w:rPr>
                <w:rFonts w:hint="eastAsia" w:ascii="宋体" w:hAnsi="宋体" w:cs="宋体"/>
                <w:szCs w:val="21"/>
                <w:highlight w:val="none"/>
                <w:lang w:eastAsia="zh-CN"/>
              </w:rPr>
              <w:t>响应</w:t>
            </w:r>
            <w:r>
              <w:rPr>
                <w:rFonts w:hint="eastAsia" w:ascii="宋体" w:hAnsi="宋体" w:cs="宋体"/>
                <w:szCs w:val="21"/>
                <w:highlight w:val="none"/>
              </w:rPr>
              <w:t>函附录签字盖章</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有法定代表人或其委托代理人签字或加</w:t>
            </w:r>
            <w:r>
              <w:rPr>
                <w:rFonts w:hint="eastAsia" w:ascii="宋体" w:hAnsi="宋体" w:cs="宋体"/>
                <w:color w:val="auto"/>
                <w:szCs w:val="21"/>
                <w:highlight w:val="none"/>
              </w:rPr>
              <w:t>盖单位公章</w:t>
            </w:r>
            <w:r>
              <w:rPr>
                <w:rFonts w:hint="eastAsia" w:ascii="宋体" w:hAnsi="宋体" w:cs="宋体"/>
                <w:szCs w:val="21"/>
                <w:highlight w:val="none"/>
              </w:rPr>
              <w:t>。由法定代表人签字的，应附法定代表人身份证明，由代理人签字的，应附授权委托书，身份证明或授权委托书应符合“</w:t>
            </w:r>
            <w:r>
              <w:rPr>
                <w:rFonts w:hint="eastAsia" w:ascii="宋体" w:hAnsi="宋体" w:cs="宋体"/>
                <w:szCs w:val="21"/>
                <w:highlight w:val="none"/>
                <w:lang w:eastAsia="zh-CN"/>
              </w:rPr>
              <w:t>响应文件</w:t>
            </w:r>
            <w:r>
              <w:rPr>
                <w:rFonts w:hint="eastAsia" w:ascii="宋体" w:hAnsi="宋体" w:cs="宋体"/>
                <w:szCs w:val="21"/>
                <w:highlight w:val="none"/>
              </w:rPr>
              <w:t>格式”的规定。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lang w:eastAsia="zh-CN"/>
              </w:rPr>
              <w:t>响应文件</w:t>
            </w:r>
            <w:r>
              <w:rPr>
                <w:rFonts w:hint="eastAsia" w:ascii="宋体" w:hAnsi="宋体" w:cs="宋体"/>
                <w:szCs w:val="21"/>
                <w:highlight w:val="none"/>
              </w:rPr>
              <w:t>格式</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符合“</w:t>
            </w:r>
            <w:r>
              <w:rPr>
                <w:rFonts w:hint="eastAsia" w:ascii="宋体" w:hAnsi="宋体" w:cs="宋体"/>
                <w:szCs w:val="21"/>
                <w:highlight w:val="none"/>
                <w:lang w:val="en-US" w:eastAsia="zh-CN"/>
              </w:rPr>
              <w:t>响应文件</w:t>
            </w:r>
            <w:r>
              <w:rPr>
                <w:rFonts w:hint="eastAsia" w:ascii="宋体" w:hAnsi="宋体" w:cs="宋体"/>
                <w:szCs w:val="21"/>
                <w:highlight w:val="none"/>
              </w:rPr>
              <w:t>格式”的要求。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备选</w:t>
            </w:r>
            <w:r>
              <w:rPr>
                <w:rFonts w:hint="eastAsia" w:ascii="宋体" w:hAnsi="宋体" w:cs="宋体"/>
                <w:szCs w:val="21"/>
                <w:highlight w:val="none"/>
                <w:lang w:eastAsia="zh-CN"/>
              </w:rPr>
              <w:t>询价</w:t>
            </w:r>
            <w:r>
              <w:rPr>
                <w:rFonts w:hint="eastAsia" w:ascii="宋体" w:hAnsi="宋体" w:cs="宋体"/>
                <w:szCs w:val="21"/>
                <w:highlight w:val="none"/>
              </w:rPr>
              <w:t>申请方案</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除</w:t>
            </w:r>
            <w:r>
              <w:rPr>
                <w:rFonts w:hint="eastAsia" w:ascii="宋体" w:hAnsi="宋体" w:cs="宋体"/>
                <w:szCs w:val="21"/>
                <w:highlight w:val="none"/>
                <w:lang w:eastAsia="zh-CN"/>
              </w:rPr>
              <w:t>询价</w:t>
            </w:r>
            <w:r>
              <w:rPr>
                <w:rFonts w:hint="eastAsia" w:ascii="宋体" w:hAnsi="宋体" w:cs="宋体"/>
                <w:szCs w:val="21"/>
                <w:highlight w:val="none"/>
              </w:rPr>
              <w:t>文件明确允许提交备选</w:t>
            </w:r>
            <w:r>
              <w:rPr>
                <w:rFonts w:hint="eastAsia" w:ascii="宋体" w:hAnsi="宋体" w:cs="宋体"/>
                <w:szCs w:val="21"/>
                <w:highlight w:val="none"/>
                <w:lang w:eastAsia="zh-CN"/>
              </w:rPr>
              <w:t>响应</w:t>
            </w:r>
            <w:r>
              <w:rPr>
                <w:rFonts w:hint="eastAsia" w:ascii="宋体" w:hAnsi="宋体" w:cs="宋体"/>
                <w:szCs w:val="21"/>
                <w:highlight w:val="none"/>
              </w:rPr>
              <w:t>方案外，</w:t>
            </w:r>
            <w:r>
              <w:rPr>
                <w:rFonts w:hint="eastAsia" w:ascii="宋体" w:hAnsi="宋体" w:cs="宋体"/>
                <w:szCs w:val="21"/>
                <w:highlight w:val="none"/>
                <w:lang w:eastAsia="zh-CN"/>
              </w:rPr>
              <w:t>响应人</w:t>
            </w:r>
            <w:r>
              <w:rPr>
                <w:rFonts w:hint="eastAsia" w:ascii="宋体" w:hAnsi="宋体" w:cs="宋体"/>
                <w:szCs w:val="21"/>
                <w:highlight w:val="none"/>
              </w:rPr>
              <w:t>不得提交备选</w:t>
            </w:r>
            <w:r>
              <w:rPr>
                <w:rFonts w:hint="eastAsia" w:ascii="宋体" w:hAnsi="宋体" w:cs="宋体"/>
                <w:szCs w:val="21"/>
                <w:highlight w:val="none"/>
                <w:lang w:eastAsia="zh-CN"/>
              </w:rPr>
              <w:t>响应</w:t>
            </w:r>
            <w:r>
              <w:rPr>
                <w:rFonts w:hint="eastAsia" w:ascii="宋体" w:hAnsi="宋体" w:cs="宋体"/>
                <w:szCs w:val="21"/>
                <w:highlight w:val="none"/>
              </w:rPr>
              <w:t>方案。</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32" w:hRule="atLeast"/>
          <w:jc w:val="center"/>
        </w:trPr>
        <w:tc>
          <w:tcPr>
            <w:tcW w:w="787"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049" w:type="dxa"/>
            <w:vMerge w:val="continue"/>
            <w:tcBorders>
              <w:top w:val="nil"/>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p>
        </w:tc>
        <w:tc>
          <w:tcPr>
            <w:tcW w:w="1275" w:type="dxa"/>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报价唯一</w:t>
            </w:r>
          </w:p>
        </w:tc>
        <w:tc>
          <w:tcPr>
            <w:tcW w:w="5947" w:type="dxa"/>
            <w:gridSpan w:val="2"/>
            <w:tcBorders>
              <w:top w:val="single" w:color="auto" w:sz="4" w:space="0"/>
              <w:lef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只能有一个有效报价。</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93" w:hRule="atLeast"/>
          <w:jc w:val="center"/>
        </w:trPr>
        <w:tc>
          <w:tcPr>
            <w:tcW w:w="787" w:type="dxa"/>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2.1.2</w:t>
            </w:r>
          </w:p>
        </w:tc>
        <w:tc>
          <w:tcPr>
            <w:tcW w:w="1049" w:type="dxa"/>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highlight w:val="none"/>
              </w:rPr>
            </w:pPr>
            <w:r>
              <w:rPr>
                <w:rFonts w:hint="eastAsia" w:ascii="宋体" w:hAnsi="宋体" w:cs="宋体"/>
                <w:szCs w:val="21"/>
                <w:highlight w:val="none"/>
              </w:rPr>
              <w:t>资格评审标准</w:t>
            </w:r>
          </w:p>
        </w:tc>
        <w:tc>
          <w:tcPr>
            <w:tcW w:w="7222" w:type="dxa"/>
            <w:gridSpan w:val="3"/>
            <w:tcBorders>
              <w:top w:val="single" w:color="auto" w:sz="4" w:space="0"/>
              <w:left w:val="single" w:color="auto" w:sz="4" w:space="0"/>
            </w:tcBorders>
            <w:vAlign w:val="center"/>
          </w:tcPr>
          <w:p>
            <w:pPr>
              <w:keepNext w:val="0"/>
              <w:keepLines w:val="0"/>
              <w:pageBreakBefore w:val="0"/>
              <w:kinsoku/>
              <w:overflowPunct/>
              <w:topLinePunct w:val="0"/>
              <w:autoSpaceDE/>
              <w:autoSpaceDN/>
              <w:bidi w:val="0"/>
              <w:snapToGrid w:val="0"/>
              <w:spacing w:line="240" w:lineRule="auto"/>
              <w:jc w:val="left"/>
              <w:rPr>
                <w:rFonts w:hint="default"/>
                <w:kern w:val="2"/>
                <w:sz w:val="21"/>
                <w:highlight w:val="none"/>
                <w:lang w:val="en-US" w:eastAsia="zh-CN" w:bidi="ar-SA"/>
              </w:rPr>
            </w:pPr>
            <w:r>
              <w:rPr>
                <w:rFonts w:hint="eastAsia"/>
                <w:kern w:val="2"/>
                <w:sz w:val="21"/>
                <w:highlight w:val="none"/>
                <w:lang w:val="en-US" w:eastAsia="zh-CN" w:bidi="ar-SA"/>
              </w:rPr>
              <w:t>见询价公告“二、供应商资格要求”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2.1.3</w:t>
            </w:r>
          </w:p>
        </w:tc>
        <w:tc>
          <w:tcPr>
            <w:tcW w:w="1049"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响应性评审标准</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color w:val="auto"/>
                <w:szCs w:val="21"/>
                <w:highlight w:val="none"/>
              </w:rPr>
            </w:pPr>
            <w:r>
              <w:rPr>
                <w:rFonts w:hint="eastAsia" w:ascii="宋体" w:hAnsi="宋体" w:cs="宋体"/>
                <w:color w:val="auto"/>
                <w:szCs w:val="21"/>
                <w:highlight w:val="none"/>
                <w:lang w:eastAsia="zh-CN"/>
              </w:rPr>
              <w:t>询价</w:t>
            </w:r>
            <w:r>
              <w:rPr>
                <w:rFonts w:hint="eastAsia" w:ascii="宋体" w:hAnsi="宋体" w:cs="宋体"/>
                <w:color w:val="auto"/>
                <w:szCs w:val="21"/>
                <w:highlight w:val="none"/>
              </w:rPr>
              <w:t>报价</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color w:val="auto"/>
                <w:szCs w:val="21"/>
                <w:highlight w:val="none"/>
              </w:rPr>
            </w:pPr>
            <w:r>
              <w:rPr>
                <w:rFonts w:hint="eastAsia" w:ascii="宋体" w:hAnsi="宋体" w:cs="宋体"/>
                <w:color w:val="auto"/>
                <w:szCs w:val="21"/>
                <w:highlight w:val="none"/>
              </w:rPr>
              <w:t>最高限价为</w:t>
            </w:r>
            <w:r>
              <w:rPr>
                <w:rFonts w:hint="eastAsia" w:ascii="宋体" w:hAnsi="宋体" w:cs="宋体"/>
                <w:color w:val="auto"/>
                <w:szCs w:val="21"/>
                <w:highlight w:val="none"/>
                <w:lang w:val="en-US" w:eastAsia="zh-CN"/>
              </w:rPr>
              <w:t>9</w:t>
            </w:r>
            <w:r>
              <w:rPr>
                <w:rFonts w:hint="eastAsia" w:ascii="宋体" w:hAnsi="宋体" w:cs="宋体"/>
                <w:color w:val="auto"/>
                <w:szCs w:val="21"/>
                <w:highlight w:val="none"/>
              </w:rPr>
              <w:t>万元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服务周期</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default" w:ascii="宋体" w:hAnsi="宋体" w:eastAsia="宋体" w:cs="宋体"/>
                <w:szCs w:val="21"/>
                <w:highlight w:val="none"/>
                <w:lang w:val="en-US" w:eastAsia="zh-CN"/>
              </w:rPr>
            </w:pPr>
            <w:r>
              <w:rPr>
                <w:rFonts w:hint="eastAsia" w:ascii="宋体" w:hAnsi="宋体" w:cs="宋体"/>
                <w:szCs w:val="21"/>
                <w:highlight w:val="none"/>
                <w:lang w:val="en-US" w:eastAsia="zh-CN"/>
              </w:rPr>
              <w:t>自签订合同起至演练结束</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质量标准</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highlight w:val="none"/>
              </w:rPr>
            </w:pPr>
            <w:r>
              <w:rPr>
                <w:rFonts w:hint="eastAsia" w:ascii="宋体" w:hAnsi="宋体" w:cs="宋体"/>
                <w:szCs w:val="21"/>
                <w:highlight w:val="none"/>
              </w:rPr>
              <w:t>合格</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szCs w:val="21"/>
              </w:rPr>
              <w:t>其他要求</w:t>
            </w:r>
          </w:p>
        </w:tc>
        <w:tc>
          <w:tcPr>
            <w:tcW w:w="5947" w:type="dxa"/>
            <w:gridSpan w:val="2"/>
            <w:tcBorders>
              <w:top w:val="single" w:color="auto" w:sz="4" w:space="0"/>
              <w:left w:val="single" w:color="auto" w:sz="4" w:space="0"/>
              <w:bottom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szCs w:val="21"/>
              </w:rPr>
            </w:pPr>
            <w:r>
              <w:rPr>
                <w:rFonts w:hint="eastAsia" w:ascii="宋体" w:hAnsi="宋体" w:cs="宋体"/>
                <w:szCs w:val="21"/>
              </w:rPr>
              <w:t>不存在</w:t>
            </w:r>
            <w:r>
              <w:rPr>
                <w:rFonts w:hint="eastAsia" w:ascii="宋体" w:hAnsi="宋体" w:cs="宋体"/>
                <w:szCs w:val="21"/>
                <w:lang w:eastAsia="zh-CN"/>
              </w:rPr>
              <w:t>询价</w:t>
            </w:r>
            <w:r>
              <w:rPr>
                <w:rFonts w:hint="eastAsia" w:ascii="宋体" w:hAnsi="宋体" w:cs="宋体"/>
                <w:szCs w:val="21"/>
              </w:rPr>
              <w:t>文件中禁止</w:t>
            </w:r>
            <w:r>
              <w:rPr>
                <w:rFonts w:hint="eastAsia" w:ascii="宋体" w:hAnsi="宋体" w:cs="宋体"/>
                <w:szCs w:val="21"/>
                <w:lang w:eastAsia="zh-CN"/>
              </w:rPr>
              <w:t>询价</w:t>
            </w:r>
            <w:r>
              <w:rPr>
                <w:rFonts w:hint="eastAsia" w:ascii="宋体" w:hAnsi="宋体" w:cs="宋体"/>
                <w:szCs w:val="21"/>
              </w:rPr>
              <w:t>的情形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77"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条款内容</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rPr>
            </w:pPr>
            <w:r>
              <w:rPr>
                <w:rFonts w:hint="eastAsia" w:ascii="宋体" w:hAnsi="宋体" w:cs="宋体"/>
                <w:b/>
              </w:rPr>
              <w:t>编列内容</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94" w:hRule="atLeast"/>
          <w:jc w:val="center"/>
        </w:trPr>
        <w:tc>
          <w:tcPr>
            <w:tcW w:w="1836" w:type="dxa"/>
            <w:gridSpan w:val="2"/>
            <w:tcBorders>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2.2.1</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rPr>
              <w:t>分值构成</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rPr>
              <w:t>(总分100分)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lang w:eastAsia="zh-CN"/>
              </w:rPr>
              <w:t>响应</w:t>
            </w:r>
            <w:r>
              <w:rPr>
                <w:rFonts w:hint="eastAsia" w:ascii="宋体" w:hAnsi="宋体" w:cs="宋体"/>
                <w:highlight w:val="none"/>
              </w:rPr>
              <w:t>报价评审：</w:t>
            </w:r>
            <w:r>
              <w:rPr>
                <w:rFonts w:hint="eastAsia" w:ascii="宋体" w:hAnsi="宋体" w:cs="宋体"/>
                <w:highlight w:val="none"/>
                <w:u w:val="single"/>
                <w:lang w:val="en-US" w:eastAsia="zh-CN"/>
              </w:rPr>
              <w:t>2</w:t>
            </w:r>
            <w:r>
              <w:rPr>
                <w:rFonts w:hint="eastAsia" w:ascii="宋体" w:hAnsi="宋体" w:cs="宋体"/>
                <w:highlight w:val="none"/>
                <w:u w:val="single"/>
              </w:rPr>
              <w:t>0</w:t>
            </w:r>
            <w:r>
              <w:rPr>
                <w:rFonts w:hint="eastAsia" w:ascii="宋体" w:hAnsi="宋体" w:cs="宋体"/>
                <w:highlight w:val="none"/>
              </w:rPr>
              <w:t>分</w:t>
            </w:r>
          </w:p>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rPr>
              <w:t>商务部分评审：</w:t>
            </w:r>
            <w:r>
              <w:rPr>
                <w:rFonts w:hint="eastAsia" w:ascii="宋体" w:hAnsi="宋体" w:cs="宋体"/>
                <w:highlight w:val="none"/>
                <w:u w:val="single"/>
                <w:lang w:val="en-US" w:eastAsia="zh-CN"/>
              </w:rPr>
              <w:t>2</w:t>
            </w:r>
            <w:r>
              <w:rPr>
                <w:rFonts w:hint="eastAsia" w:ascii="宋体" w:hAnsi="宋体" w:cs="宋体"/>
                <w:highlight w:val="none"/>
                <w:u w:val="single"/>
              </w:rPr>
              <w:t>0</w:t>
            </w:r>
            <w:r>
              <w:rPr>
                <w:rFonts w:hint="eastAsia" w:ascii="宋体" w:hAnsi="宋体" w:cs="宋体"/>
                <w:highlight w:val="none"/>
              </w:rPr>
              <w:t>分</w:t>
            </w:r>
          </w:p>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lang w:val="en-US" w:eastAsia="zh-CN"/>
              </w:rPr>
              <w:t>技术部分评审</w:t>
            </w:r>
            <w:r>
              <w:rPr>
                <w:rFonts w:hint="eastAsia" w:ascii="宋体" w:hAnsi="宋体" w:cs="宋体"/>
                <w:highlight w:val="none"/>
              </w:rPr>
              <w:t>：</w:t>
            </w:r>
            <w:r>
              <w:rPr>
                <w:rFonts w:hint="eastAsia" w:ascii="宋体" w:hAnsi="宋体" w:cs="宋体"/>
                <w:highlight w:val="none"/>
                <w:u w:val="single"/>
                <w:lang w:val="en-US" w:eastAsia="zh-CN"/>
              </w:rPr>
              <w:t>60</w:t>
            </w:r>
            <w:r>
              <w:rPr>
                <w:rFonts w:hint="eastAsia" w:ascii="宋体" w:hAnsi="宋体" w:cs="宋体"/>
                <w:highlight w:val="none"/>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836" w:type="dxa"/>
            <w:gridSpan w:val="2"/>
            <w:tcBorders>
              <w:top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条款号</w:t>
            </w:r>
          </w:p>
        </w:tc>
        <w:tc>
          <w:tcPr>
            <w:tcW w:w="127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评分因素</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b/>
                <w:kern w:val="2"/>
                <w:sz w:val="21"/>
                <w:lang w:val="en-US" w:eastAsia="zh-CN" w:bidi="ar-SA"/>
              </w:rPr>
            </w:pPr>
            <w:r>
              <w:rPr>
                <w:rFonts w:hint="eastAsia" w:ascii="宋体" w:hAnsi="宋体" w:cs="宋体"/>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82" w:hRule="atLeast"/>
          <w:jc w:val="center"/>
        </w:trPr>
        <w:tc>
          <w:tcPr>
            <w:tcW w:w="787"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（1）</w:t>
            </w:r>
          </w:p>
        </w:tc>
        <w:tc>
          <w:tcPr>
            <w:tcW w:w="1049" w:type="dxa"/>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ind w:left="0" w:leftChars="0" w:right="0" w:rightChars="0" w:firstLine="0" w:firstLineChars="0"/>
              <w:jc w:val="center"/>
              <w:rPr>
                <w:rFonts w:hint="eastAsia" w:ascii="宋体" w:hAnsi="宋体" w:eastAsia="宋体" w:cs="宋体"/>
                <w:highlight w:val="none"/>
                <w:lang w:val="en-US" w:eastAsia="zh-CN"/>
              </w:rPr>
            </w:pPr>
            <w:r>
              <w:rPr>
                <w:rFonts w:hint="eastAsia" w:ascii="宋体" w:hAnsi="宋体" w:cs="宋体"/>
                <w:highlight w:val="none"/>
                <w:lang w:val="en-US" w:eastAsia="zh-CN"/>
              </w:rPr>
              <w:t>询价</w:t>
            </w:r>
            <w:r>
              <w:rPr>
                <w:rFonts w:hint="eastAsia" w:ascii="宋体" w:hAnsi="宋体" w:cs="宋体"/>
                <w:highlight w:val="none"/>
              </w:rPr>
              <w:t>报价</w:t>
            </w:r>
            <w:r>
              <w:rPr>
                <w:rFonts w:hint="eastAsia" w:ascii="宋体" w:hAnsi="宋体" w:cs="宋体"/>
                <w:highlight w:val="none"/>
                <w:lang w:val="en-US" w:eastAsia="zh-CN"/>
              </w:rPr>
              <w:t>评审</w:t>
            </w:r>
          </w:p>
          <w:p>
            <w:pPr>
              <w:keepNext w:val="0"/>
              <w:keepLines w:val="0"/>
              <w:pageBreakBefore w:val="0"/>
              <w:kinsoku/>
              <w:overflowPunct/>
              <w:topLinePunct w:val="0"/>
              <w:autoSpaceDE/>
              <w:autoSpaceDN/>
              <w:bidi w:val="0"/>
              <w:adjustRightInd w:val="0"/>
              <w:snapToGrid w:val="0"/>
              <w:spacing w:line="240" w:lineRule="auto"/>
              <w:ind w:left="0" w:leftChars="0" w:right="0" w:rightChars="0" w:firstLine="0" w:firstLineChars="0"/>
              <w:jc w:val="center"/>
              <w:rPr>
                <w:rFonts w:hint="eastAsia" w:ascii="宋体" w:hAnsi="宋体" w:cs="宋体"/>
                <w:highlight w:val="green"/>
              </w:rPr>
            </w:pPr>
            <w:r>
              <w:rPr>
                <w:rFonts w:hint="eastAsia" w:ascii="宋体" w:hAnsi="宋体" w:cs="宋体"/>
                <w:highlight w:val="none"/>
              </w:rPr>
              <w:t>（</w:t>
            </w:r>
            <w:r>
              <w:rPr>
                <w:rFonts w:hint="eastAsia" w:ascii="宋体" w:hAnsi="宋体" w:cs="宋体"/>
                <w:highlight w:val="none"/>
                <w:lang w:val="en-US" w:eastAsia="zh-CN"/>
              </w:rPr>
              <w:t>20</w:t>
            </w:r>
            <w:r>
              <w:rPr>
                <w:rFonts w:hint="eastAsia" w:ascii="宋体" w:hAnsi="宋体" w:cs="宋体"/>
                <w:highlight w:val="none"/>
              </w:rPr>
              <w:t>分）</w:t>
            </w:r>
          </w:p>
        </w:tc>
        <w:tc>
          <w:tcPr>
            <w:tcW w:w="1275" w:type="dxa"/>
            <w:tcBorders>
              <w:top w:val="single" w:color="auto" w:sz="4" w:space="0"/>
              <w:left w:val="single" w:color="auto" w:sz="4" w:space="0"/>
              <w:right w:val="single" w:color="auto" w:sz="4" w:space="0"/>
            </w:tcBorders>
            <w:vAlign w:val="center"/>
          </w:tcPr>
          <w:p>
            <w:pPr>
              <w:keepNext w:val="0"/>
              <w:keepLines w:val="0"/>
              <w:pageBreakBefore w:val="0"/>
              <w:widowControl/>
              <w:kinsoku/>
              <w:overflowPunct/>
              <w:topLinePunct w:val="0"/>
              <w:autoSpaceDE/>
              <w:autoSpaceDN/>
              <w:bidi w:val="0"/>
              <w:adjustRightInd w:val="0"/>
              <w:snapToGrid w:val="0"/>
              <w:spacing w:line="240" w:lineRule="auto"/>
              <w:jc w:val="center"/>
              <w:rPr>
                <w:rFonts w:hint="eastAsia" w:ascii="宋体" w:hAnsi="宋体" w:cs="宋体"/>
                <w:highlight w:val="none"/>
              </w:rPr>
            </w:pPr>
            <w:r>
              <w:rPr>
                <w:rFonts w:hint="eastAsia" w:ascii="宋体" w:hAnsi="宋体" w:cs="宋体"/>
                <w:highlight w:val="none"/>
                <w:lang w:val="en-US" w:eastAsia="zh-CN"/>
              </w:rPr>
              <w:t>询价</w:t>
            </w:r>
            <w:r>
              <w:rPr>
                <w:rFonts w:hint="eastAsia" w:ascii="宋体" w:hAnsi="宋体" w:cs="宋体"/>
                <w:highlight w:val="none"/>
              </w:rPr>
              <w:t>总报价（</w:t>
            </w:r>
            <w:r>
              <w:rPr>
                <w:rFonts w:hint="eastAsia" w:ascii="宋体" w:hAnsi="宋体" w:cs="宋体"/>
                <w:highlight w:val="none"/>
                <w:lang w:val="en-US" w:eastAsia="zh-CN"/>
              </w:rPr>
              <w:t>20</w:t>
            </w:r>
            <w:r>
              <w:rPr>
                <w:rFonts w:hint="eastAsia" w:ascii="宋体" w:hAnsi="宋体" w:cs="宋体"/>
                <w:highlight w:val="none"/>
              </w:rPr>
              <w:t>分）</w:t>
            </w:r>
          </w:p>
        </w:tc>
        <w:tc>
          <w:tcPr>
            <w:tcW w:w="5947"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highlight w:val="none"/>
              </w:rPr>
            </w:pPr>
            <w:r>
              <w:rPr>
                <w:rFonts w:hint="eastAsia" w:ascii="宋体" w:hAnsi="宋体" w:cs="宋体"/>
                <w:highlight w:val="none"/>
                <w:lang w:val="en-US" w:eastAsia="zh-CN"/>
              </w:rPr>
              <w:t>采用</w:t>
            </w:r>
            <w:r>
              <w:rPr>
                <w:rFonts w:hint="eastAsia" w:ascii="宋体" w:hAnsi="宋体" w:cs="宋体"/>
                <w:highlight w:val="none"/>
              </w:rPr>
              <w:t>满足</w:t>
            </w:r>
            <w:r>
              <w:rPr>
                <w:rFonts w:hint="eastAsia" w:ascii="宋体" w:hAnsi="宋体" w:cs="宋体"/>
                <w:highlight w:val="none"/>
                <w:lang w:val="en-US" w:eastAsia="zh-CN"/>
              </w:rPr>
              <w:t>询价</w:t>
            </w:r>
            <w:r>
              <w:rPr>
                <w:rFonts w:hint="eastAsia" w:ascii="宋体" w:hAnsi="宋体" w:cs="宋体"/>
                <w:highlight w:val="none"/>
              </w:rPr>
              <w:t>文件要求且有效</w:t>
            </w:r>
            <w:r>
              <w:rPr>
                <w:rFonts w:hint="eastAsia" w:ascii="宋体" w:hAnsi="宋体" w:cs="宋体"/>
                <w:highlight w:val="none"/>
                <w:lang w:val="en-US" w:eastAsia="zh-CN"/>
              </w:rPr>
              <w:t>的响应人平均</w:t>
            </w:r>
            <w:r>
              <w:rPr>
                <w:rFonts w:hint="eastAsia" w:ascii="宋体" w:hAnsi="宋体" w:cs="宋体"/>
                <w:highlight w:val="none"/>
              </w:rPr>
              <w:t>报价为</w:t>
            </w:r>
            <w:r>
              <w:rPr>
                <w:rFonts w:hint="eastAsia" w:ascii="宋体" w:hAnsi="宋体" w:cs="宋体"/>
                <w:highlight w:val="none"/>
                <w:lang w:val="en-US" w:eastAsia="zh-CN"/>
              </w:rPr>
              <w:t>评审</w:t>
            </w:r>
            <w:r>
              <w:rPr>
                <w:rFonts w:hint="eastAsia" w:ascii="宋体" w:hAnsi="宋体" w:cs="宋体"/>
                <w:highlight w:val="none"/>
              </w:rPr>
              <w:t>基准价，其价格分为满分。</w:t>
            </w:r>
            <w:r>
              <w:rPr>
                <w:rFonts w:hint="eastAsia" w:ascii="宋体" w:hAnsi="宋体" w:cs="宋体"/>
                <w:highlight w:val="none"/>
                <w:lang w:val="en-US" w:eastAsia="zh-CN"/>
              </w:rPr>
              <w:t>高于平均价的1%减1分，低于平均报价的1%减0.5分，减完为止。</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652" w:hRule="atLeast"/>
          <w:jc w:val="center"/>
        </w:trPr>
        <w:tc>
          <w:tcPr>
            <w:tcW w:w="787" w:type="dxa"/>
            <w:vMerge w:val="restart"/>
            <w:tcBorders>
              <w:top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（2）</w:t>
            </w:r>
          </w:p>
        </w:tc>
        <w:tc>
          <w:tcPr>
            <w:tcW w:w="1049" w:type="dxa"/>
            <w:vMerge w:val="restart"/>
            <w:tcBorders>
              <w:top w:val="single" w:color="auto" w:sz="4" w:space="0"/>
              <w:right w:val="single" w:color="auto" w:sz="4" w:space="0"/>
            </w:tcBorders>
            <w:vAlign w:val="center"/>
          </w:tcPr>
          <w:p>
            <w:pPr>
              <w:keepNext w:val="0"/>
              <w:keepLines w:val="0"/>
              <w:pageBreakBefore w:val="0"/>
              <w:tabs>
                <w:tab w:val="left" w:pos="360"/>
              </w:tabs>
              <w:kinsoku/>
              <w:overflowPunct/>
              <w:topLinePunct w:val="0"/>
              <w:autoSpaceDE/>
              <w:autoSpaceDN/>
              <w:bidi w:val="0"/>
              <w:adjustRightInd w:val="0"/>
              <w:snapToGrid w:val="0"/>
              <w:spacing w:line="240" w:lineRule="auto"/>
              <w:jc w:val="center"/>
              <w:rPr>
                <w:rFonts w:hint="eastAsia" w:ascii="宋体" w:hAnsi="宋体" w:cs="宋体"/>
                <w:szCs w:val="21"/>
              </w:rPr>
            </w:pPr>
            <w:r>
              <w:rPr>
                <w:rFonts w:hint="eastAsia" w:ascii="宋体" w:hAnsi="宋体" w:cs="宋体"/>
                <w:lang w:val="en-US" w:eastAsia="zh-CN"/>
              </w:rPr>
              <w:t>商务部分评审</w:t>
            </w:r>
            <w:r>
              <w:rPr>
                <w:rFonts w:hint="eastAsia" w:ascii="宋体" w:hAnsi="宋体" w:cs="宋体"/>
              </w:rPr>
              <w:t>（</w:t>
            </w:r>
            <w:r>
              <w:rPr>
                <w:rFonts w:hint="eastAsia" w:ascii="宋体" w:hAnsi="宋体" w:cs="宋体"/>
                <w:lang w:val="en-US" w:eastAsia="zh-CN"/>
              </w:rPr>
              <w:t>20</w:t>
            </w:r>
            <w:r>
              <w:rPr>
                <w:rFonts w:hint="eastAsia" w:ascii="宋体" w:hAnsi="宋体" w:cs="宋体"/>
              </w:rPr>
              <w:t>分）</w:t>
            </w:r>
          </w:p>
        </w:tc>
        <w:tc>
          <w:tcPr>
            <w:tcW w:w="1275" w:type="dxa"/>
            <w:tcBorders>
              <w:top w:val="single" w:color="auto" w:sz="4" w:space="0"/>
              <w:left w:val="single" w:color="auto" w:sz="4" w:space="0"/>
              <w:right w:val="single" w:color="auto" w:sz="4" w:space="0"/>
            </w:tcBorders>
            <w:shd w:val="clear" w:color="auto" w:fill="auto"/>
            <w:vAlign w:val="center"/>
          </w:tcPr>
          <w:p>
            <w:pPr>
              <w:pStyle w:val="6"/>
              <w:keepNext w:val="0"/>
              <w:keepLines w:val="0"/>
              <w:pageBreakBefore w:val="0"/>
              <w:kinsoku/>
              <w:overflowPunct/>
              <w:topLinePunct w:val="0"/>
              <w:autoSpaceDE/>
              <w:autoSpaceDN/>
              <w:bidi w:val="0"/>
              <w:adjustRightInd w:val="0"/>
              <w:snapToGrid w:val="0"/>
              <w:spacing w:line="240" w:lineRule="auto"/>
              <w:ind w:left="62" w:leftChars="0" w:right="52" w:rightChars="0"/>
              <w:jc w:val="center"/>
              <w:rPr>
                <w:rFonts w:hint="eastAsia" w:ascii="宋体" w:hAnsi="宋体" w:eastAsia="宋体" w:cs="宋体"/>
                <w:kern w:val="2"/>
                <w:sz w:val="21"/>
                <w:szCs w:val="21"/>
                <w:highlight w:val="none"/>
                <w:lang w:val="en-US" w:eastAsia="zh-CN" w:bidi="ar-SA"/>
              </w:rPr>
            </w:pPr>
            <w:r>
              <w:rPr>
                <w:rFonts w:hint="eastAsia" w:ascii="宋体" w:hAnsi="宋体"/>
                <w:sz w:val="21"/>
                <w:szCs w:val="21"/>
                <w:highlight w:val="none"/>
                <w:lang w:eastAsia="zh-CN"/>
              </w:rPr>
              <w:t>同类业绩</w:t>
            </w:r>
            <w:r>
              <w:rPr>
                <w:rFonts w:hint="eastAsia" w:ascii="宋体" w:hAnsi="宋体" w:cs="宋体"/>
                <w:kern w:val="2"/>
                <w:sz w:val="21"/>
                <w:szCs w:val="21"/>
                <w:highlight w:val="none"/>
                <w:lang w:eastAsia="zh-CN"/>
              </w:rPr>
              <w:t>（</w:t>
            </w:r>
            <w:r>
              <w:rPr>
                <w:rFonts w:hint="eastAsia" w:ascii="宋体" w:hAnsi="宋体" w:cs="宋体"/>
                <w:kern w:val="2"/>
                <w:sz w:val="21"/>
                <w:szCs w:val="21"/>
                <w:highlight w:val="none"/>
                <w:lang w:val="en-US" w:eastAsia="zh-CN"/>
              </w:rPr>
              <w:t>10</w:t>
            </w:r>
            <w:r>
              <w:rPr>
                <w:rFonts w:hint="eastAsia" w:ascii="宋体" w:hAnsi="宋体" w:cs="宋体"/>
                <w:kern w:val="2"/>
                <w:sz w:val="21"/>
                <w:szCs w:val="21"/>
                <w:highlight w:val="none"/>
                <w:lang w:eastAsia="zh-CN"/>
              </w:rPr>
              <w:t>分）</w:t>
            </w:r>
          </w:p>
        </w:tc>
        <w:tc>
          <w:tcPr>
            <w:tcW w:w="594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overflowPunct/>
              <w:topLinePunct w:val="0"/>
              <w:autoSpaceDE/>
              <w:autoSpaceDN/>
              <w:bidi w:val="0"/>
              <w:adjustRightInd w:val="0"/>
              <w:snapToGrid w:val="0"/>
              <w:spacing w:line="240" w:lineRule="auto"/>
              <w:rPr>
                <w:rFonts w:hint="eastAsia" w:ascii="宋体" w:hAnsi="宋体" w:cs="宋体"/>
                <w:highlight w:val="none"/>
                <w:lang w:val="en-US" w:eastAsia="zh-CN"/>
              </w:rPr>
            </w:pPr>
            <w:r>
              <w:rPr>
                <w:rFonts w:hint="eastAsia" w:ascii="宋体" w:hAnsi="宋体" w:cs="宋体"/>
                <w:highlight w:val="none"/>
                <w:lang w:val="en-US" w:eastAsia="zh-CN"/>
              </w:rPr>
              <w:t>供应商承接水利水电施工三</w:t>
            </w:r>
            <w:bookmarkStart w:id="19" w:name="_GoBack"/>
            <w:bookmarkEnd w:id="19"/>
            <w:r>
              <w:rPr>
                <w:rFonts w:hint="eastAsia" w:ascii="宋体" w:hAnsi="宋体" w:cs="宋体"/>
                <w:highlight w:val="none"/>
                <w:lang w:val="en-US" w:eastAsia="zh-CN"/>
              </w:rPr>
              <w:t>级以上项目，每有一项同类业绩得2分，最多得10分。</w:t>
            </w:r>
          </w:p>
          <w:p>
            <w:pPr>
              <w:keepNext w:val="0"/>
              <w:keepLines w:val="0"/>
              <w:pageBreakBefore w:val="0"/>
              <w:kinsoku/>
              <w:overflowPunct/>
              <w:topLinePunct w:val="0"/>
              <w:autoSpaceDE/>
              <w:autoSpaceDN/>
              <w:bidi w:val="0"/>
              <w:adjustRightInd w:val="0"/>
              <w:snapToGrid w:val="0"/>
              <w:spacing w:line="240" w:lineRule="auto"/>
              <w:rPr>
                <w:rFonts w:hint="eastAsia" w:ascii="宋体" w:hAnsi="宋体" w:eastAsia="宋体" w:cs="宋体"/>
                <w:kern w:val="2"/>
                <w:sz w:val="21"/>
                <w:szCs w:val="21"/>
                <w:highlight w:val="none"/>
                <w:lang w:val="en-US" w:eastAsia="zh-CN" w:bidi="ar-SA"/>
              </w:rPr>
            </w:pPr>
            <w:r>
              <w:rPr>
                <w:rFonts w:hint="eastAsia" w:ascii="宋体" w:hAnsi="宋体" w:cs="宋体"/>
                <w:highlight w:val="none"/>
                <w:lang w:val="en-US" w:eastAsia="zh-CN"/>
              </w:rPr>
              <w:t>（提供签订合同原件扫描件，未提供不得分）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140" w:hRule="atLeast"/>
          <w:jc w:val="center"/>
        </w:trPr>
        <w:tc>
          <w:tcPr>
            <w:tcW w:w="787"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275" w:type="dxa"/>
            <w:tcBorders>
              <w:top w:val="single" w:color="auto" w:sz="4" w:space="0"/>
              <w:left w:val="single" w:color="auto" w:sz="4" w:space="0"/>
              <w:right w:val="single" w:color="auto" w:sz="4" w:space="0"/>
            </w:tcBorders>
            <w:shd w:val="clear" w:color="auto" w:fill="auto"/>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color w:val="auto"/>
                <w:szCs w:val="21"/>
                <w:highlight w:val="none"/>
              </w:rPr>
            </w:pPr>
            <w:r>
              <w:rPr>
                <w:rFonts w:hint="eastAsia" w:ascii="宋体" w:hAnsi="宋体" w:cs="宋体"/>
                <w:color w:val="auto"/>
                <w:szCs w:val="21"/>
                <w:highlight w:val="none"/>
              </w:rPr>
              <w:t>项目组人员配备情况</w:t>
            </w:r>
          </w:p>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eastAsia="宋体" w:cs="宋体"/>
                <w:color w:val="auto"/>
                <w:kern w:val="2"/>
                <w:sz w:val="21"/>
                <w:szCs w:val="24"/>
                <w:highlight w:val="none"/>
                <w:lang w:val="en-US" w:eastAsia="zh-CN" w:bidi="ar-SA"/>
              </w:rPr>
            </w:pPr>
            <w:r>
              <w:rPr>
                <w:rFonts w:hint="eastAsia" w:ascii="宋体" w:hAnsi="宋体" w:cs="宋体"/>
                <w:color w:val="auto"/>
                <w:szCs w:val="21"/>
                <w:highlight w:val="none"/>
              </w:rPr>
              <w:t>（</w:t>
            </w:r>
            <w:r>
              <w:rPr>
                <w:rFonts w:hint="eastAsia" w:ascii="宋体" w:hAnsi="宋体" w:cs="宋体"/>
                <w:color w:val="auto"/>
                <w:szCs w:val="21"/>
                <w:highlight w:val="none"/>
                <w:lang w:val="en-US" w:eastAsia="zh-CN"/>
              </w:rPr>
              <w:t>10</w:t>
            </w:r>
            <w:r>
              <w:rPr>
                <w:rFonts w:hint="eastAsia" w:ascii="宋体" w:hAnsi="宋体" w:cs="宋体"/>
                <w:color w:val="auto"/>
                <w:szCs w:val="21"/>
                <w:highlight w:val="none"/>
              </w:rPr>
              <w:t>分）</w:t>
            </w:r>
          </w:p>
        </w:tc>
        <w:tc>
          <w:tcPr>
            <w:tcW w:w="594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numPr>
                <w:ilvl w:val="0"/>
                <w:numId w:val="0"/>
              </w:numPr>
              <w:kinsoku/>
              <w:overflowPunct/>
              <w:topLinePunct w:val="0"/>
              <w:autoSpaceDE/>
              <w:autoSpaceDN/>
              <w:bidi w:val="0"/>
              <w:adjustRightInd w:val="0"/>
              <w:snapToGrid w:val="0"/>
              <w:spacing w:line="240" w:lineRule="auto"/>
              <w:jc w:val="left"/>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1、</w:t>
            </w:r>
            <w:r>
              <w:rPr>
                <w:rFonts w:hint="eastAsia" w:ascii="宋体" w:hAnsi="宋体" w:cs="宋体"/>
                <w:color w:val="auto"/>
                <w:szCs w:val="21"/>
                <w:highlight w:val="none"/>
                <w:lang w:eastAsia="zh-CN"/>
              </w:rPr>
              <w:t>项目现场技术服务有</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名高级工程师得</w:t>
            </w:r>
            <w:r>
              <w:rPr>
                <w:rFonts w:hint="eastAsia" w:ascii="宋体" w:hAnsi="宋体" w:cs="宋体"/>
                <w:color w:val="auto"/>
                <w:szCs w:val="21"/>
                <w:highlight w:val="none"/>
                <w:lang w:val="en-US" w:eastAsia="zh-CN"/>
              </w:rPr>
              <w:t>5分，少一名扣2.5分。</w:t>
            </w:r>
          </w:p>
          <w:p>
            <w:pPr>
              <w:keepNext w:val="0"/>
              <w:keepLines w:val="0"/>
              <w:pageBreakBefore w:val="0"/>
              <w:numPr>
                <w:ilvl w:val="0"/>
                <w:numId w:val="0"/>
              </w:numPr>
              <w:kinsoku/>
              <w:overflowPunct/>
              <w:topLinePunct w:val="0"/>
              <w:autoSpaceDE/>
              <w:autoSpaceDN/>
              <w:bidi w:val="0"/>
              <w:adjustRightInd w:val="0"/>
              <w:snapToGrid w:val="0"/>
              <w:spacing w:line="240" w:lineRule="auto"/>
              <w:jc w:val="left"/>
              <w:rPr>
                <w:rFonts w:hint="eastAsia" w:ascii="宋体" w:hAnsi="宋体" w:cs="宋体"/>
                <w:color w:val="auto"/>
                <w:szCs w:val="21"/>
                <w:highlight w:val="none"/>
                <w:lang w:eastAsia="zh-CN"/>
              </w:rPr>
            </w:pPr>
            <w:r>
              <w:rPr>
                <w:rFonts w:hint="eastAsia" w:ascii="宋体" w:hAnsi="宋体" w:cs="宋体"/>
                <w:color w:val="auto"/>
                <w:szCs w:val="21"/>
                <w:highlight w:val="none"/>
                <w:lang w:val="en-US" w:eastAsia="zh-CN"/>
              </w:rPr>
              <w:t>2、</w:t>
            </w:r>
            <w:r>
              <w:rPr>
                <w:rFonts w:hint="eastAsia" w:ascii="宋体" w:hAnsi="宋体" w:cs="宋体"/>
                <w:color w:val="auto"/>
                <w:szCs w:val="21"/>
                <w:highlight w:val="none"/>
                <w:lang w:eastAsia="zh-CN"/>
              </w:rPr>
              <w:t>项目现场技术人员有</w:t>
            </w:r>
            <w:r>
              <w:rPr>
                <w:rFonts w:hint="eastAsia" w:ascii="宋体" w:hAnsi="宋体" w:cs="宋体"/>
                <w:color w:val="auto"/>
                <w:szCs w:val="21"/>
                <w:highlight w:val="none"/>
                <w:lang w:val="en-US" w:eastAsia="zh-CN"/>
              </w:rPr>
              <w:t>15人得5分，每少一名扣0.5分，扣完为止。</w:t>
            </w:r>
          </w:p>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eastAsia="宋体" w:cs="宋体"/>
                <w:color w:val="auto"/>
                <w:kern w:val="2"/>
                <w:sz w:val="21"/>
                <w:szCs w:val="21"/>
                <w:highlight w:val="none"/>
                <w:lang w:val="en-US" w:eastAsia="zh-CN" w:bidi="ar-SA"/>
              </w:rPr>
            </w:pPr>
            <w:r>
              <w:rPr>
                <w:rFonts w:hint="eastAsia" w:ascii="宋体" w:hAnsi="宋体" w:cs="宋体"/>
                <w:color w:val="auto"/>
                <w:szCs w:val="21"/>
                <w:highlight w:val="none"/>
              </w:rPr>
              <w:t>（提供相关职称</w:t>
            </w:r>
            <w:r>
              <w:rPr>
                <w:rFonts w:hint="eastAsia" w:ascii="宋体" w:hAnsi="宋体" w:cs="宋体"/>
                <w:color w:val="auto"/>
                <w:szCs w:val="21"/>
                <w:highlight w:val="none"/>
                <w:lang w:val="en-US" w:eastAsia="zh-CN"/>
              </w:rPr>
              <w:t>证书的</w:t>
            </w:r>
            <w:r>
              <w:rPr>
                <w:rFonts w:hint="eastAsia" w:ascii="宋体" w:hAnsi="宋体" w:cs="宋体"/>
                <w:color w:val="auto"/>
                <w:szCs w:val="21"/>
                <w:highlight w:val="none"/>
              </w:rPr>
              <w:t>扫描件，否则不得分）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restart"/>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r>
              <w:rPr>
                <w:rFonts w:hint="eastAsia" w:ascii="宋体" w:hAnsi="宋体" w:cs="宋体"/>
              </w:rPr>
              <w:t>2.2.</w:t>
            </w:r>
            <w:r>
              <w:rPr>
                <w:rFonts w:hint="eastAsia" w:ascii="宋体" w:hAnsi="宋体" w:cs="宋体"/>
                <w:lang w:val="en-US" w:eastAsia="zh-CN"/>
              </w:rPr>
              <w:t>2</w:t>
            </w:r>
            <w:r>
              <w:rPr>
                <w:rFonts w:hint="eastAsia" w:ascii="宋体" w:hAnsi="宋体" w:cs="宋体"/>
              </w:rPr>
              <w:t>（3）</w:t>
            </w:r>
          </w:p>
        </w:tc>
        <w:tc>
          <w:tcPr>
            <w:tcW w:w="1049" w:type="dxa"/>
            <w:vMerge w:val="restart"/>
            <w:tcBorders>
              <w:top w:val="single" w:color="auto" w:sz="4" w:space="0"/>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r>
              <w:rPr>
                <w:rFonts w:hint="eastAsia" w:ascii="宋体" w:hAnsi="宋体" w:cs="宋体"/>
                <w:highlight w:val="none"/>
              </w:rPr>
              <w:t>技术部分评审（</w:t>
            </w:r>
            <w:r>
              <w:rPr>
                <w:rFonts w:hint="eastAsia" w:ascii="宋体" w:hAnsi="宋体" w:cs="宋体"/>
                <w:highlight w:val="none"/>
                <w:lang w:val="en-US" w:eastAsia="zh-CN"/>
              </w:rPr>
              <w:t>60</w:t>
            </w:r>
            <w:r>
              <w:rPr>
                <w:rFonts w:hint="eastAsia" w:ascii="宋体" w:hAnsi="宋体" w:cs="宋体"/>
                <w:highlight w:val="none"/>
              </w:rPr>
              <w:t>分）</w:t>
            </w:r>
          </w:p>
        </w:tc>
        <w:tc>
          <w:tcPr>
            <w:tcW w:w="128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6"/>
              <w:keepNext w:val="0"/>
              <w:keepLines w:val="0"/>
              <w:pageBreakBefore w:val="0"/>
              <w:kinsoku/>
              <w:overflowPunct/>
              <w:topLinePunct w:val="0"/>
              <w:autoSpaceDE/>
              <w:autoSpaceDN/>
              <w:bidi w:val="0"/>
              <w:adjustRightInd w:val="0"/>
              <w:snapToGrid w:val="0"/>
              <w:spacing w:line="240" w:lineRule="auto"/>
              <w:ind w:left="63" w:leftChars="0" w:right="50" w:rightChars="0"/>
              <w:jc w:val="center"/>
              <w:rPr>
                <w:rFonts w:hint="eastAsia" w:ascii="宋体" w:hAnsi="宋体" w:eastAsia="宋体" w:cs="宋体"/>
                <w:kern w:val="0"/>
                <w:sz w:val="21"/>
                <w:szCs w:val="21"/>
                <w:highlight w:val="none"/>
                <w:lang w:val="en-US" w:eastAsia="zh-CN" w:bidi="ar-SA"/>
              </w:rPr>
            </w:pPr>
            <w:r>
              <w:rPr>
                <w:rFonts w:hint="eastAsia" w:ascii="宋体" w:hAnsi="宋体" w:cs="宋体"/>
                <w:sz w:val="21"/>
                <w:szCs w:val="21"/>
                <w:highlight w:val="none"/>
                <w:lang w:val="en-US" w:eastAsia="zh-CN"/>
              </w:rPr>
              <w:t>技术</w:t>
            </w:r>
            <w:r>
              <w:rPr>
                <w:rFonts w:hint="eastAsia" w:ascii="宋体" w:hAnsi="宋体" w:eastAsia="宋体" w:cs="宋体"/>
                <w:sz w:val="21"/>
                <w:szCs w:val="21"/>
                <w:highlight w:val="none"/>
                <w:lang w:val="en-US" w:eastAsia="zh-CN"/>
              </w:rPr>
              <w:t>方案</w:t>
            </w:r>
            <w:r>
              <w:rPr>
                <w:rFonts w:hint="eastAsia" w:ascii="宋体" w:hAnsi="宋体" w:cs="宋体"/>
                <w:highlight w:val="none"/>
              </w:rPr>
              <w:t>（</w:t>
            </w:r>
            <w:r>
              <w:rPr>
                <w:rFonts w:hint="eastAsia" w:ascii="宋体" w:hAnsi="宋体" w:cs="宋体"/>
                <w:highlight w:val="none"/>
                <w:lang w:val="en-US" w:eastAsia="zh-CN"/>
              </w:rPr>
              <w:t>30</w:t>
            </w:r>
            <w:r>
              <w:rPr>
                <w:rFonts w:hint="eastAsia" w:ascii="宋体" w:hAnsi="宋体" w:cs="宋体"/>
                <w:highlight w:val="none"/>
              </w:rPr>
              <w:t>分）</w:t>
            </w:r>
          </w:p>
        </w:tc>
        <w:tc>
          <w:tcPr>
            <w:tcW w:w="593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对供应商技术服务</w:t>
            </w:r>
            <w:r>
              <w:rPr>
                <w:rFonts w:hint="eastAsia" w:ascii="宋体" w:hAnsi="宋体" w:cs="宋体"/>
                <w:szCs w:val="21"/>
                <w:highlight w:val="none"/>
                <w:lang w:val="en-US" w:eastAsia="zh-CN"/>
              </w:rPr>
              <w:t>实施</w:t>
            </w:r>
            <w:r>
              <w:rPr>
                <w:rFonts w:hint="eastAsia" w:ascii="宋体" w:hAnsi="宋体" w:eastAsia="宋体" w:cs="宋体"/>
                <w:szCs w:val="21"/>
                <w:highlight w:val="none"/>
                <w:lang w:val="en-US" w:eastAsia="zh-CN"/>
              </w:rPr>
              <w:t>方案进行评审：</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r>
              <w:rPr>
                <w:rFonts w:hint="eastAsia" w:ascii="宋体" w:hAnsi="宋体" w:eastAsia="宋体" w:cs="宋体"/>
                <w:szCs w:val="21"/>
                <w:highlight w:val="none"/>
                <w:lang w:val="en-US" w:eastAsia="zh-CN"/>
              </w:rPr>
              <w:t>总体方案切实可行，得</w:t>
            </w:r>
            <w:r>
              <w:rPr>
                <w:rFonts w:hint="eastAsia" w:ascii="宋体" w:hAnsi="宋体" w:cs="宋体"/>
                <w:szCs w:val="21"/>
                <w:highlight w:val="none"/>
                <w:lang w:val="en-US" w:eastAsia="zh-CN"/>
              </w:rPr>
              <w:t>30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2、</w:t>
            </w:r>
            <w:r>
              <w:rPr>
                <w:rFonts w:hint="eastAsia" w:ascii="宋体" w:hAnsi="宋体" w:eastAsia="宋体" w:cs="宋体"/>
                <w:szCs w:val="21"/>
                <w:highlight w:val="none"/>
                <w:lang w:val="en-US" w:eastAsia="zh-CN"/>
              </w:rPr>
              <w:t>总体方案较为切合实际，得</w:t>
            </w:r>
            <w:r>
              <w:rPr>
                <w:rFonts w:hint="eastAsia" w:ascii="宋体" w:hAnsi="宋体" w:cs="宋体"/>
                <w:szCs w:val="21"/>
                <w:highlight w:val="none"/>
                <w:lang w:val="en-US" w:eastAsia="zh-CN"/>
              </w:rPr>
              <w:t>20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lang w:val="en-US" w:eastAsia="zh-CN"/>
              </w:rPr>
              <w:t>3、</w:t>
            </w:r>
            <w:r>
              <w:rPr>
                <w:rFonts w:hint="eastAsia" w:ascii="宋体" w:hAnsi="宋体" w:eastAsia="宋体" w:cs="宋体"/>
                <w:szCs w:val="21"/>
                <w:highlight w:val="none"/>
                <w:lang w:val="en-US" w:eastAsia="zh-CN"/>
              </w:rPr>
              <w:t>总体方案一般，得10分。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480" w:hRule="atLeast"/>
          <w:jc w:val="center"/>
        </w:trPr>
        <w:tc>
          <w:tcPr>
            <w:tcW w:w="787"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center"/>
              <w:rPr>
                <w:rFonts w:hint="eastAsia" w:ascii="宋体" w:hAnsi="宋体" w:cs="宋体"/>
              </w:rPr>
            </w:pPr>
          </w:p>
        </w:tc>
        <w:tc>
          <w:tcPr>
            <w:tcW w:w="1049" w:type="dxa"/>
            <w:vMerge w:val="continue"/>
            <w:tcBorders>
              <w:left w:val="single" w:color="auto" w:sz="4" w:space="0"/>
              <w:right w:val="single" w:color="auto" w:sz="4" w:space="0"/>
            </w:tcBorders>
            <w:vAlign w:val="center"/>
          </w:tcPr>
          <w:p>
            <w:pPr>
              <w:keepNext w:val="0"/>
              <w:keepLines w:val="0"/>
              <w:pageBreakBefore w:val="0"/>
              <w:kinsoku/>
              <w:overflowPunct/>
              <w:topLinePunct w:val="0"/>
              <w:autoSpaceDE/>
              <w:autoSpaceDN/>
              <w:bidi w:val="0"/>
              <w:adjustRightInd w:val="0"/>
              <w:snapToGrid w:val="0"/>
              <w:spacing w:line="240" w:lineRule="auto"/>
              <w:jc w:val="left"/>
              <w:rPr>
                <w:rFonts w:hint="eastAsia" w:ascii="宋体" w:hAnsi="宋体" w:cs="宋体"/>
                <w:highlight w:val="none"/>
              </w:rPr>
            </w:pPr>
          </w:p>
        </w:tc>
        <w:tc>
          <w:tcPr>
            <w:tcW w:w="128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pStyle w:val="6"/>
              <w:keepNext w:val="0"/>
              <w:keepLines w:val="0"/>
              <w:pageBreakBefore w:val="0"/>
              <w:kinsoku/>
              <w:overflowPunct/>
              <w:topLinePunct w:val="0"/>
              <w:autoSpaceDE/>
              <w:autoSpaceDN/>
              <w:bidi w:val="0"/>
              <w:adjustRightInd w:val="0"/>
              <w:snapToGrid w:val="0"/>
              <w:spacing w:line="240" w:lineRule="auto"/>
              <w:ind w:left="63" w:right="50"/>
              <w:jc w:val="center"/>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进度</w:t>
            </w:r>
            <w:r>
              <w:rPr>
                <w:rFonts w:hint="eastAsia" w:ascii="宋体" w:hAnsi="宋体" w:cs="宋体"/>
                <w:sz w:val="21"/>
                <w:szCs w:val="21"/>
                <w:highlight w:val="none"/>
                <w:lang w:val="en-US" w:eastAsia="zh-CN"/>
              </w:rPr>
              <w:t>和质量</w:t>
            </w:r>
            <w:r>
              <w:rPr>
                <w:rFonts w:hint="eastAsia" w:ascii="宋体" w:hAnsi="宋体" w:eastAsia="宋体" w:cs="宋体"/>
                <w:sz w:val="21"/>
                <w:szCs w:val="21"/>
                <w:highlight w:val="none"/>
                <w:lang w:val="en-US" w:eastAsia="zh-CN"/>
              </w:rPr>
              <w:t>保证措施</w:t>
            </w:r>
          </w:p>
          <w:p>
            <w:pPr>
              <w:pStyle w:val="6"/>
              <w:keepNext w:val="0"/>
              <w:keepLines w:val="0"/>
              <w:pageBreakBefore w:val="0"/>
              <w:kinsoku/>
              <w:overflowPunct/>
              <w:topLinePunct w:val="0"/>
              <w:autoSpaceDE/>
              <w:autoSpaceDN/>
              <w:bidi w:val="0"/>
              <w:adjustRightInd w:val="0"/>
              <w:snapToGrid w:val="0"/>
              <w:spacing w:line="240" w:lineRule="auto"/>
              <w:ind w:left="63" w:leftChars="0" w:right="50" w:rightChars="0"/>
              <w:jc w:val="center"/>
              <w:rPr>
                <w:rFonts w:hint="eastAsia" w:ascii="宋体" w:hAnsi="宋体" w:eastAsia="宋体" w:cs="宋体"/>
                <w:kern w:val="0"/>
                <w:sz w:val="21"/>
                <w:szCs w:val="21"/>
                <w:highlight w:val="none"/>
                <w:lang w:val="en-US" w:eastAsia="zh-CN" w:bidi="ar-SA"/>
              </w:rPr>
            </w:pPr>
            <w:r>
              <w:rPr>
                <w:rFonts w:hint="eastAsia" w:ascii="宋体" w:hAnsi="宋体" w:cs="宋体"/>
                <w:highlight w:val="none"/>
              </w:rPr>
              <w:t>（</w:t>
            </w:r>
            <w:r>
              <w:rPr>
                <w:rFonts w:hint="eastAsia" w:ascii="宋体" w:hAnsi="宋体" w:cs="宋体"/>
                <w:highlight w:val="none"/>
                <w:lang w:val="en-US" w:eastAsia="zh-CN"/>
              </w:rPr>
              <w:t>3</w:t>
            </w:r>
            <w:r>
              <w:rPr>
                <w:rFonts w:hint="eastAsia" w:ascii="宋体" w:hAnsi="宋体" w:cs="宋体"/>
                <w:highlight w:val="none"/>
              </w:rPr>
              <w:t>0分）</w:t>
            </w:r>
          </w:p>
        </w:tc>
        <w:tc>
          <w:tcPr>
            <w:tcW w:w="593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对供应商进度</w:t>
            </w:r>
            <w:r>
              <w:rPr>
                <w:rFonts w:hint="eastAsia" w:ascii="宋体" w:hAnsi="宋体" w:cs="宋体"/>
                <w:szCs w:val="21"/>
                <w:highlight w:val="none"/>
                <w:lang w:val="en-US" w:eastAsia="zh-CN"/>
              </w:rPr>
              <w:t>和质量</w:t>
            </w:r>
            <w:r>
              <w:rPr>
                <w:rFonts w:hint="eastAsia" w:ascii="宋体" w:hAnsi="宋体" w:eastAsia="宋体" w:cs="宋体"/>
                <w:szCs w:val="21"/>
                <w:highlight w:val="none"/>
                <w:lang w:val="en-US" w:eastAsia="zh-CN"/>
              </w:rPr>
              <w:t>保证措施进行评审：</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1、</w:t>
            </w:r>
            <w:r>
              <w:rPr>
                <w:rFonts w:hint="eastAsia" w:ascii="宋体" w:hAnsi="宋体" w:eastAsia="宋体" w:cs="宋体"/>
                <w:szCs w:val="21"/>
                <w:highlight w:val="none"/>
                <w:lang w:val="en-US" w:eastAsia="zh-CN"/>
              </w:rPr>
              <w:t>切实可行，针对性强的，得</w:t>
            </w:r>
            <w:r>
              <w:rPr>
                <w:rFonts w:hint="eastAsia" w:ascii="宋体" w:hAnsi="宋体" w:cs="宋体"/>
                <w:szCs w:val="21"/>
                <w:highlight w:val="none"/>
                <w:lang w:val="en-US" w:eastAsia="zh-CN"/>
              </w:rPr>
              <w:t>3</w:t>
            </w:r>
            <w:r>
              <w:rPr>
                <w:rFonts w:hint="eastAsia" w:ascii="宋体" w:hAnsi="宋体" w:eastAsia="宋体" w:cs="宋体"/>
                <w:szCs w:val="21"/>
                <w:highlight w:val="none"/>
                <w:lang w:val="en-US" w:eastAsia="zh-CN"/>
              </w:rPr>
              <w:t>0分；</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szCs w:val="21"/>
                <w:highlight w:val="none"/>
                <w:lang w:val="en-US" w:eastAsia="zh-CN"/>
              </w:rPr>
            </w:pPr>
            <w:r>
              <w:rPr>
                <w:rFonts w:hint="eastAsia" w:ascii="宋体" w:hAnsi="宋体" w:cs="宋体"/>
                <w:szCs w:val="21"/>
                <w:highlight w:val="none"/>
                <w:lang w:val="en-US" w:eastAsia="zh-CN"/>
              </w:rPr>
              <w:t>2、</w:t>
            </w:r>
            <w:r>
              <w:rPr>
                <w:rFonts w:hint="eastAsia" w:ascii="宋体" w:hAnsi="宋体" w:eastAsia="宋体" w:cs="宋体"/>
                <w:szCs w:val="21"/>
                <w:highlight w:val="none"/>
                <w:lang w:val="en-US" w:eastAsia="zh-CN"/>
              </w:rPr>
              <w:t>较切实可行，针对性较强的，得</w:t>
            </w:r>
            <w:r>
              <w:rPr>
                <w:rFonts w:hint="eastAsia" w:ascii="宋体" w:hAnsi="宋体" w:cs="宋体"/>
                <w:szCs w:val="21"/>
                <w:highlight w:val="none"/>
                <w:lang w:val="en-US" w:eastAsia="zh-CN"/>
              </w:rPr>
              <w:t>20</w:t>
            </w:r>
            <w:r>
              <w:rPr>
                <w:rFonts w:hint="eastAsia" w:ascii="宋体" w:hAnsi="宋体" w:eastAsia="宋体" w:cs="宋体"/>
                <w:szCs w:val="21"/>
                <w:highlight w:val="none"/>
                <w:lang w:val="en-US" w:eastAsia="zh-CN"/>
              </w:rPr>
              <w:t>分；</w:t>
            </w:r>
          </w:p>
          <w:p>
            <w:pPr>
              <w:keepNext w:val="0"/>
              <w:keepLines w:val="0"/>
              <w:pageBreakBefore w:val="0"/>
              <w:kinsoku/>
              <w:overflowPunct/>
              <w:topLinePunct w:val="0"/>
              <w:autoSpaceDE/>
              <w:autoSpaceDN/>
              <w:bidi w:val="0"/>
              <w:adjustRightInd w:val="0"/>
              <w:snapToGrid w:val="0"/>
              <w:spacing w:line="240" w:lineRule="auto"/>
              <w:jc w:val="both"/>
              <w:rPr>
                <w:rFonts w:hint="eastAsia" w:ascii="宋体" w:hAnsi="宋体" w:eastAsia="宋体" w:cs="宋体"/>
                <w:kern w:val="2"/>
                <w:sz w:val="21"/>
                <w:szCs w:val="21"/>
                <w:highlight w:val="none"/>
                <w:lang w:val="en-US" w:eastAsia="zh-CN" w:bidi="ar-SA"/>
              </w:rPr>
            </w:pPr>
            <w:r>
              <w:rPr>
                <w:rFonts w:hint="eastAsia" w:ascii="宋体" w:hAnsi="宋体" w:cs="宋体"/>
                <w:szCs w:val="21"/>
                <w:highlight w:val="none"/>
                <w:lang w:val="en-US" w:eastAsia="zh-CN"/>
              </w:rPr>
              <w:t>3、</w:t>
            </w:r>
            <w:r>
              <w:rPr>
                <w:rFonts w:hint="eastAsia" w:ascii="宋体" w:hAnsi="宋体" w:eastAsia="宋体" w:cs="宋体"/>
                <w:szCs w:val="21"/>
                <w:highlight w:val="none"/>
                <w:lang w:val="en-US" w:eastAsia="zh-CN"/>
              </w:rPr>
              <w:t>措施一般的，得</w:t>
            </w:r>
            <w:r>
              <w:rPr>
                <w:rFonts w:hint="eastAsia" w:ascii="宋体" w:hAnsi="宋体" w:cs="宋体"/>
                <w:szCs w:val="21"/>
                <w:highlight w:val="none"/>
                <w:lang w:val="en-US" w:eastAsia="zh-CN"/>
              </w:rPr>
              <w:t>10</w:t>
            </w:r>
            <w:r>
              <w:rPr>
                <w:rFonts w:hint="eastAsia" w:ascii="宋体" w:hAnsi="宋体" w:eastAsia="宋体" w:cs="宋体"/>
                <w:szCs w:val="21"/>
                <w:highlight w:val="none"/>
                <w:lang w:val="en-US" w:eastAsia="zh-CN"/>
              </w:rPr>
              <w:t>分。</w:t>
            </w:r>
          </w:p>
        </w:tc>
      </w:tr>
    </w:tbl>
    <w:p>
      <w:pPr>
        <w:spacing w:line="400" w:lineRule="exact"/>
        <w:outlineLvl w:val="0"/>
        <w:rPr>
          <w:rFonts w:hint="eastAsia" w:ascii="宋体" w:hAnsi="宋体"/>
          <w:b/>
          <w:bCs/>
          <w:spacing w:val="2"/>
          <w:szCs w:val="21"/>
        </w:rPr>
      </w:pP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1. 评审方法</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bookmarkStart w:id="0" w:name="_Toc3444031"/>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本次评审采用综合评估法。评审委员会对满足</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文件实质性要求的</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，按照第2.2款规定的评分标准进行打分，并按得分由高到低顺序推荐中选候选人，并标明排序；综合评分相等时，以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报价低的优先；如果</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报价相同时，以技术</w:t>
      </w:r>
      <w:r>
        <w:rPr>
          <w:rFonts w:hint="eastAsia" w:ascii="宋体" w:hAnsi="宋体" w:cs="宋体"/>
          <w:i w:val="0"/>
          <w:iCs w:val="0"/>
          <w:caps w:val="0"/>
          <w:color w:val="000000"/>
          <w:spacing w:val="0"/>
          <w:kern w:val="0"/>
          <w:sz w:val="25"/>
          <w:szCs w:val="25"/>
          <w:highlight w:val="none"/>
          <w:shd w:val="clear" w:color="auto" w:fill="auto"/>
          <w:lang w:val="en-US" w:eastAsia="zh-CN" w:bidi="ar"/>
        </w:rPr>
        <w:t>部分</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评分标准得分高的优先；如果技术</w:t>
      </w:r>
      <w:r>
        <w:rPr>
          <w:rFonts w:hint="eastAsia" w:ascii="宋体" w:hAnsi="宋体" w:cs="宋体"/>
          <w:i w:val="0"/>
          <w:iCs w:val="0"/>
          <w:caps w:val="0"/>
          <w:color w:val="000000"/>
          <w:spacing w:val="0"/>
          <w:kern w:val="0"/>
          <w:sz w:val="25"/>
          <w:szCs w:val="25"/>
          <w:highlight w:val="none"/>
          <w:shd w:val="clear" w:color="auto" w:fill="auto"/>
          <w:lang w:val="en-US" w:eastAsia="zh-CN" w:bidi="ar"/>
        </w:rPr>
        <w:t>部分</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评分标准得分也相等，由评审委员会投票确定。</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2. 评审标准</w:t>
      </w:r>
      <w:bookmarkEnd w:id="0"/>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 w:name="_Toc3444032"/>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2.1 初步评审标准</w:t>
      </w:r>
      <w:bookmarkEnd w:id="1"/>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2.1.1 形式评审标准：见评审办法前附表。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2.1.2 资格评审标准：见评审办法前附表。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2.1.3 响应性评审标准：见评审办法前附表。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2" w:name="_Toc3444033"/>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 xml:space="preserve">2.2 </w:t>
      </w:r>
      <w:r>
        <w:rPr>
          <w:rFonts w:hint="eastAsia" w:ascii="宋体" w:hAnsi="宋体" w:cs="宋体"/>
          <w:b/>
          <w:bCs/>
          <w:i w:val="0"/>
          <w:iCs w:val="0"/>
          <w:caps w:val="0"/>
          <w:color w:val="000000"/>
          <w:spacing w:val="0"/>
          <w:kern w:val="0"/>
          <w:sz w:val="25"/>
          <w:szCs w:val="25"/>
          <w:highlight w:val="none"/>
          <w:shd w:val="clear" w:color="auto" w:fill="auto"/>
          <w:lang w:val="en-US" w:eastAsia="zh-CN" w:bidi="ar"/>
        </w:rPr>
        <w:t>详细评审</w:t>
      </w: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标准</w:t>
      </w:r>
      <w:bookmarkEnd w:id="2"/>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2.2.1 分值构成</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报价评审：见评审办法前附表；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（2）商务部分评审：见评审办法前附表；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（3）技术部分</w:t>
      </w:r>
      <w:r>
        <w:rPr>
          <w:rFonts w:hint="eastAsia" w:ascii="宋体" w:hAnsi="宋体" w:cs="宋体"/>
          <w:i w:val="0"/>
          <w:iCs w:val="0"/>
          <w:caps w:val="0"/>
          <w:color w:val="000000"/>
          <w:spacing w:val="0"/>
          <w:kern w:val="0"/>
          <w:sz w:val="25"/>
          <w:szCs w:val="25"/>
          <w:highlight w:val="none"/>
          <w:shd w:val="clear" w:color="auto" w:fill="auto"/>
          <w:lang w:val="en-US" w:eastAsia="zh-CN" w:bidi="ar"/>
        </w:rPr>
        <w:t>评审</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2.2.</w:t>
      </w:r>
      <w:r>
        <w:rPr>
          <w:rFonts w:hint="eastAsia" w:ascii="宋体" w:hAnsi="宋体" w:cs="宋体"/>
          <w:i w:val="0"/>
          <w:iCs w:val="0"/>
          <w:caps w:val="0"/>
          <w:color w:val="000000"/>
          <w:spacing w:val="0"/>
          <w:kern w:val="0"/>
          <w:sz w:val="25"/>
          <w:szCs w:val="25"/>
          <w:highlight w:val="none"/>
          <w:shd w:val="clear" w:color="auto" w:fill="auto"/>
          <w:lang w:val="en-US" w:eastAsia="zh-CN" w:bidi="ar"/>
        </w:rPr>
        <w:t>2</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 评分标准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（2）商务部分评分标准：见评审办法前附表；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（3）技术部分评分标准：见评审办法前附表。</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3" w:name="_Toc3444034"/>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 评审程序</w:t>
      </w:r>
      <w:bookmarkEnd w:id="3"/>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4" w:name="_Toc3444035"/>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3.1 初步评审</w:t>
      </w:r>
      <w:bookmarkEnd w:id="4"/>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3.1.1 评审委员会依据第2.1款规定的标准对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进行初步评审。有一项不符合评审标准的，评审委员会应当否决其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3.1.2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有以下情形之一的，评审委员会应当否决其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没有对</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文件的实质性要求和条件作出响应，或者对</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文件的偏差超出</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文件规定的偏差范围或最高项数；</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（2）有串通、弄虚作假、行贿等违法行为。</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3.1.3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报价有算术错误及其他错误的，评审委员会按以下原则要求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对报价进</w:t>
      </w:r>
      <w:bookmarkStart w:id="5" w:name="_Toc247527628"/>
      <w:bookmarkStart w:id="6" w:name="_Toc384308277"/>
      <w:bookmarkStart w:id="7" w:name="_Toc144974570"/>
      <w:bookmarkStart w:id="8" w:name="_Toc369531582"/>
      <w:bookmarkStart w:id="9" w:name="_Toc152045603"/>
      <w:bookmarkStart w:id="10" w:name="_Toc300835013"/>
      <w:bookmarkStart w:id="11" w:name="_Toc352691538"/>
      <w:bookmarkStart w:id="12" w:name="_Toc152042380"/>
      <w:bookmarkStart w:id="13" w:name="_Toc2907"/>
      <w:bookmarkStart w:id="14" w:name="_Toc247514027"/>
      <w:bookmarkStart w:id="15" w:name="_Toc361508651"/>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行修正，并要求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书面澄清确认。</w:t>
      </w:r>
      <w:bookmarkEnd w:id="5"/>
      <w:bookmarkEnd w:id="6"/>
      <w:bookmarkEnd w:id="7"/>
      <w:bookmarkEnd w:id="8"/>
      <w:bookmarkEnd w:id="9"/>
      <w:bookmarkEnd w:id="10"/>
      <w:bookmarkEnd w:id="11"/>
      <w:bookmarkEnd w:id="12"/>
      <w:bookmarkEnd w:id="13"/>
      <w:bookmarkEnd w:id="14"/>
      <w:bookmarkEnd w:id="15"/>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拒不澄清确认的，评审委员会应当否决其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中的大写金额与小写金额不一致的，以大写金额为准；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（2）总价金额与单价金额不一致的，以单价金额为准，但单价金额小数点有明显错误的除外。</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3.1.4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未按</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格式编制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6" w:name="_Toc3444036"/>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3.2 详细评审</w:t>
      </w:r>
      <w:bookmarkEnd w:id="16"/>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3.2.1 评审委员会按第2.2款规定的量化因素和分值进行打分，并计算出综合评估得分。</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（1）按评审办法规定的</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报价评审标准计算出得分A；</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（2）按评审办法规定的商务部分评审标准计算出得分B；</w:t>
      </w:r>
    </w:p>
    <w:p>
      <w:pPr>
        <w:keepNext w:val="0"/>
        <w:keepLines w:val="0"/>
        <w:pageBreakBefore w:val="0"/>
        <w:widowControl w:val="0"/>
        <w:kinsoku/>
        <w:wordWrap/>
        <w:overflowPunct/>
        <w:topLinePunct w:val="0"/>
        <w:autoSpaceDE/>
        <w:autoSpaceDN/>
        <w:bidi w:val="0"/>
        <w:adjustRightInd/>
        <w:snapToGrid/>
        <w:spacing w:line="480" w:lineRule="exact"/>
        <w:ind w:firstLine="500" w:firstLineChars="200"/>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（3）按评审办法规定的技术部分评审标准计算出得分C。</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3.2.2 评分分值计算保留小数点后两位，小数点后第三位“四舍五入”。</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 xml:space="preserve">3.2.3 </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得分=A+B+C。</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3.2.4 评审委员会发现</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的报价明显低于其他</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报价，使得其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报价可能低于其个别成本的，应当要求该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作出书面说明并提供相应的证明材料。</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不能合理说明或者不能提供相应证明材料的，评审委员会应当认定该</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以低于成本报价竞标，并否决其</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7" w:name="_Toc3444037"/>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 xml:space="preserve">3.3 </w:t>
      </w:r>
      <w:r>
        <w:rPr>
          <w:rFonts w:hint="eastAsia" w:ascii="宋体" w:hAnsi="宋体" w:cs="宋体"/>
          <w:b/>
          <w:bCs/>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的澄清</w:t>
      </w:r>
      <w:bookmarkEnd w:id="17"/>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3.3.1 在评审过程中，评审委员会可以书面形式要求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中含义不明确、对同类问题表述不一致或者有明显文字和计算错误的内容作必要的澄清、说明或补正。澄清、说明或补正应以书面方式进行。评审委员会不接受</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主动提出的澄清、说明或补正。</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3.3.2 澄清、说明或补正不得超出</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的范围且不得改变</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的实质性内容，并构成</w:t>
      </w:r>
      <w:r>
        <w:rPr>
          <w:rFonts w:hint="eastAsia" w:ascii="宋体" w:hAnsi="宋体" w:cs="宋体"/>
          <w:i w:val="0"/>
          <w:iCs w:val="0"/>
          <w:caps w:val="0"/>
          <w:color w:val="000000"/>
          <w:spacing w:val="0"/>
          <w:kern w:val="0"/>
          <w:sz w:val="25"/>
          <w:szCs w:val="25"/>
          <w:highlight w:val="none"/>
          <w:shd w:val="clear" w:color="auto" w:fill="auto"/>
          <w:lang w:val="en-US" w:eastAsia="zh-CN" w:bidi="ar"/>
        </w:rPr>
        <w:t>响应文件</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的组成部分。</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3.3.3 评审委员会对</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提交的澄清、说明或补正有疑问的，可以要求</w:t>
      </w:r>
      <w:r>
        <w:rPr>
          <w:rFonts w:hint="eastAsia" w:ascii="宋体" w:hAnsi="宋体" w:cs="宋体"/>
          <w:i w:val="0"/>
          <w:iCs w:val="0"/>
          <w:caps w:val="0"/>
          <w:color w:val="000000"/>
          <w:spacing w:val="0"/>
          <w:kern w:val="0"/>
          <w:sz w:val="25"/>
          <w:szCs w:val="25"/>
          <w:highlight w:val="none"/>
          <w:shd w:val="clear" w:color="auto" w:fill="auto"/>
          <w:lang w:val="en-US" w:eastAsia="zh-CN" w:bidi="ar"/>
        </w:rPr>
        <w:t>响应人</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进一步澄清、说明或补正，直至满足评审委员会的要求。</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pPr>
      <w:bookmarkStart w:id="18" w:name="_Toc3444038"/>
      <w:r>
        <w:rPr>
          <w:rFonts w:hint="eastAsia" w:ascii="宋体" w:hAnsi="宋体" w:eastAsia="宋体" w:cs="宋体"/>
          <w:b/>
          <w:bCs/>
          <w:i w:val="0"/>
          <w:iCs w:val="0"/>
          <w:caps w:val="0"/>
          <w:color w:val="000000"/>
          <w:spacing w:val="0"/>
          <w:kern w:val="0"/>
          <w:sz w:val="25"/>
          <w:szCs w:val="25"/>
          <w:highlight w:val="none"/>
          <w:shd w:val="clear" w:color="auto" w:fill="auto"/>
          <w:lang w:val="en-US" w:eastAsia="zh-CN" w:bidi="ar"/>
        </w:rPr>
        <w:t>3.4 评审结果</w:t>
      </w:r>
      <w:bookmarkEnd w:id="18"/>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3.4.1 评审委员会按照得分由高到低的顺序推荐中</w:t>
      </w:r>
      <w:r>
        <w:rPr>
          <w:rFonts w:hint="eastAsia" w:ascii="宋体" w:hAnsi="宋体" w:cs="宋体"/>
          <w:i w:val="0"/>
          <w:iCs w:val="0"/>
          <w:caps w:val="0"/>
          <w:color w:val="000000"/>
          <w:spacing w:val="0"/>
          <w:kern w:val="0"/>
          <w:sz w:val="25"/>
          <w:szCs w:val="25"/>
          <w:highlight w:val="none"/>
          <w:shd w:val="clear" w:color="auto" w:fill="auto"/>
          <w:lang w:val="en-US" w:eastAsia="zh-CN" w:bidi="ar"/>
        </w:rPr>
        <w:t>选</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候选人。</w:t>
      </w:r>
    </w:p>
    <w:p>
      <w:pPr>
        <w:keepNext w:val="0"/>
        <w:keepLines w:val="0"/>
        <w:pageBreakBefore w:val="0"/>
        <w:widowControl w:val="0"/>
        <w:kinsoku/>
        <w:wordWrap/>
        <w:overflowPunct/>
        <w:topLinePunct w:val="0"/>
        <w:autoSpaceDE/>
        <w:autoSpaceDN/>
        <w:bidi w:val="0"/>
        <w:adjustRightInd/>
        <w:snapToGrid/>
        <w:spacing w:line="480" w:lineRule="exact"/>
        <w:textAlignment w:val="auto"/>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pP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3.4.2 评审委员会完成评审后，应当向</w:t>
      </w:r>
      <w:r>
        <w:rPr>
          <w:rFonts w:hint="eastAsia" w:ascii="宋体" w:hAnsi="宋体" w:cs="宋体"/>
          <w:i w:val="0"/>
          <w:iCs w:val="0"/>
          <w:caps w:val="0"/>
          <w:color w:val="000000"/>
          <w:spacing w:val="0"/>
          <w:kern w:val="0"/>
          <w:sz w:val="25"/>
          <w:szCs w:val="25"/>
          <w:highlight w:val="none"/>
          <w:shd w:val="clear" w:color="auto" w:fill="auto"/>
          <w:lang w:val="en-US" w:eastAsia="zh-CN" w:bidi="ar"/>
        </w:rPr>
        <w:t>询价</w:t>
      </w:r>
      <w:r>
        <w:rPr>
          <w:rFonts w:hint="eastAsia" w:ascii="宋体" w:hAnsi="宋体" w:eastAsia="宋体" w:cs="宋体"/>
          <w:i w:val="0"/>
          <w:iCs w:val="0"/>
          <w:caps w:val="0"/>
          <w:color w:val="000000"/>
          <w:spacing w:val="0"/>
          <w:kern w:val="0"/>
          <w:sz w:val="25"/>
          <w:szCs w:val="25"/>
          <w:highlight w:val="none"/>
          <w:shd w:val="clear" w:color="auto" w:fill="auto"/>
          <w:lang w:val="en-US" w:eastAsia="zh-CN" w:bidi="ar"/>
        </w:rPr>
        <w:t>人提交书面评审报告和中选候选人名单。</w:t>
      </w:r>
    </w:p>
    <w:p>
      <w:pPr>
        <w:pStyle w:val="2"/>
        <w:rPr>
          <w:rFonts w:hint="eastAsia" w:ascii="仿宋" w:hAnsi="仿宋" w:eastAsia="仿宋" w:cs="仿宋"/>
          <w:i w:val="0"/>
          <w:iCs w:val="0"/>
          <w:caps w:val="0"/>
          <w:color w:val="000000"/>
          <w:spacing w:val="0"/>
          <w:kern w:val="0"/>
          <w:sz w:val="32"/>
          <w:szCs w:val="32"/>
          <w:highlight w:val="green"/>
          <w:shd w:val="clear" w:color="auto" w:fill="auto"/>
          <w:lang w:val="en-US" w:eastAsia="zh-CN" w:bidi="ar"/>
        </w:rPr>
      </w:pPr>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60130B"/>
    <w:rsid w:val="062F567C"/>
    <w:rsid w:val="089C2B44"/>
    <w:rsid w:val="0C77492A"/>
    <w:rsid w:val="0CC63C13"/>
    <w:rsid w:val="18EC6753"/>
    <w:rsid w:val="1BB138FD"/>
    <w:rsid w:val="1C921ACE"/>
    <w:rsid w:val="21795B62"/>
    <w:rsid w:val="2DAF77D3"/>
    <w:rsid w:val="2DEE05B5"/>
    <w:rsid w:val="34AD5538"/>
    <w:rsid w:val="35880521"/>
    <w:rsid w:val="371B0743"/>
    <w:rsid w:val="39996C3B"/>
    <w:rsid w:val="3A3372D0"/>
    <w:rsid w:val="3A566466"/>
    <w:rsid w:val="3C862009"/>
    <w:rsid w:val="3EF94B8E"/>
    <w:rsid w:val="3FA71BD6"/>
    <w:rsid w:val="42281E8A"/>
    <w:rsid w:val="46201F5F"/>
    <w:rsid w:val="480B0E8C"/>
    <w:rsid w:val="482E2EAB"/>
    <w:rsid w:val="49312963"/>
    <w:rsid w:val="4960130B"/>
    <w:rsid w:val="49B94DA2"/>
    <w:rsid w:val="5B9018D7"/>
    <w:rsid w:val="608B6E0E"/>
    <w:rsid w:val="617734A3"/>
    <w:rsid w:val="64BE57F8"/>
    <w:rsid w:val="70F27F0A"/>
    <w:rsid w:val="712A1FD7"/>
    <w:rsid w:val="72B4048D"/>
    <w:rsid w:val="74032167"/>
    <w:rsid w:val="96F776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正文（缩进）"/>
    <w:qFormat/>
    <w:uiPriority w:val="0"/>
    <w:pPr>
      <w:widowControl w:val="0"/>
      <w:spacing w:before="50" w:after="50"/>
      <w:ind w:firstLine="200" w:firstLineChars="200"/>
      <w:jc w:val="both"/>
    </w:pPr>
    <w:rPr>
      <w:rFonts w:ascii="Calibri" w:hAnsi="Calibri" w:eastAsia="宋体" w:cs="Times New Roman"/>
      <w:kern w:val="28"/>
      <w:sz w:val="28"/>
      <w:szCs w:val="22"/>
      <w:lang w:val="en-US" w:eastAsia="zh-CN" w:bidi="ar-SA"/>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6">
    <w:name w:val="Table Paragraph"/>
    <w:basedOn w:val="1"/>
    <w:qFormat/>
    <w:uiPriority w:val="0"/>
    <w:pPr>
      <w:jc w:val="left"/>
    </w:pPr>
    <w:rPr>
      <w:rFonts w:ascii="Calibri" w:hAnsi="Calibri"/>
      <w:kern w:val="0"/>
      <w:sz w:val="22"/>
      <w:szCs w:val="22"/>
      <w:lang w:eastAsia="en-US"/>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2180</Words>
  <Characters>2330</Characters>
  <Lines>0</Lines>
  <Paragraphs>0</Paragraphs>
  <TotalTime>6</TotalTime>
  <ScaleCrop>false</ScaleCrop>
  <LinksUpToDate>false</LinksUpToDate>
  <CharactersWithSpaces>2357</CharactersWithSpaces>
  <Application>WPS Office_11.8.2.12119_F1E327BC-269C-435d-A152-05C5408002CA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2024-12-25T09:27:00Z</dcterms:created>
  <dc:creator>lenovo</dc:creator>
  <cp:lastModifiedBy>逍遥</cp:lastModifiedBy>
  <cp:lastPrinted>2026-04-30T15:41:00Z</cp:lastPrinted>
  <dcterms:modified xsi:type="dcterms:W3CDTF">2026-05-13T01:19:06Z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2052-11.8.2.12119</vt:lpwstr>
  </property>
  <property fmtid="{D5CDD505-2E9C-101B-9397-08002B2CF9AE}" pid="3" name="ICV">
    <vt:lpwstr>92D924EB4EDD4125A129B8F8BA96E52E_13</vt:lpwstr>
  </property>
  <property fmtid="{D5CDD505-2E9C-101B-9397-08002B2CF9AE}" pid="4" name="KSOTemplateDocerSaveRecord">
    <vt:lpwstr>eyJoZGlkIjoiN2Y3OTA0OWYzNGZhNjBhN2FkYmJiNjYxMTYwNTM1OTEiLCJ1c2VySWQiOiIxNTQ4NDA2NzY2In0=</vt:lpwstr>
  </property>
</Properties>
</file>